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№ </w:t>
      </w:r>
      <w:r w:rsidR="009A6DC1">
        <w:rPr>
          <w:b/>
          <w:sz w:val="28"/>
          <w:szCs w:val="28"/>
        </w:rPr>
        <w:t>2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9A6DC1">
        <w:rPr>
          <w:sz w:val="28"/>
          <w:szCs w:val="28"/>
          <w:u w:val="single"/>
        </w:rPr>
        <w:t>03</w:t>
      </w:r>
      <w:r w:rsidR="00270371">
        <w:rPr>
          <w:sz w:val="28"/>
          <w:szCs w:val="28"/>
          <w:u w:val="single"/>
        </w:rPr>
        <w:t xml:space="preserve"> </w:t>
      </w:r>
      <w:r w:rsidR="009A6DC1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 202</w:t>
      </w:r>
      <w:r w:rsidR="0027037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E07546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270371" w:rsidRDefault="00F4282E" w:rsidP="00F4282E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CB752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CB752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5B0DD9" w:rsidP="000D6595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5B0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0DD9"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Ирина Борисовна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населением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Надежда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организационного управления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452CD8" w:rsidRPr="00452CD8" w:rsidRDefault="005C1456" w:rsidP="00452CD8">
      <w:pPr>
        <w:pStyle w:val="a5"/>
        <w:numPr>
          <w:ilvl w:val="0"/>
          <w:numId w:val="1"/>
        </w:numPr>
        <w:tabs>
          <w:tab w:val="left" w:pos="180"/>
        </w:tabs>
        <w:ind w:left="0" w:firstLine="758"/>
        <w:jc w:val="both"/>
      </w:pPr>
      <w:r>
        <w:rPr>
          <w:sz w:val="28"/>
          <w:szCs w:val="28"/>
        </w:rPr>
        <w:t xml:space="preserve">Рассмотрение </w:t>
      </w:r>
      <w:r w:rsidR="00CB7527">
        <w:rPr>
          <w:sz w:val="28"/>
          <w:szCs w:val="28"/>
        </w:rPr>
        <w:t>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2022 году.</w:t>
      </w:r>
    </w:p>
    <w:p w:rsidR="00452CD8" w:rsidRDefault="00452CD8" w:rsidP="00452CD8">
      <w:pPr>
        <w:pStyle w:val="a5"/>
        <w:tabs>
          <w:tab w:val="left" w:pos="180"/>
        </w:tabs>
        <w:ind w:left="758"/>
        <w:jc w:val="both"/>
      </w:pPr>
    </w:p>
    <w:p w:rsidR="00CB7527" w:rsidRPr="00CB7527" w:rsidRDefault="00CB7527" w:rsidP="00CB7527">
      <w:pPr>
        <w:pStyle w:val="a5"/>
        <w:numPr>
          <w:ilvl w:val="0"/>
          <w:numId w:val="5"/>
        </w:numPr>
        <w:tabs>
          <w:tab w:val="left" w:pos="180"/>
        </w:tabs>
        <w:jc w:val="center"/>
        <w:rPr>
          <w:b/>
        </w:rPr>
      </w:pPr>
      <w:r w:rsidRPr="00CB7527">
        <w:rPr>
          <w:b/>
          <w:sz w:val="28"/>
          <w:szCs w:val="28"/>
        </w:rPr>
        <w:t>Рассмотрение 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2022 году.</w:t>
      </w:r>
    </w:p>
    <w:p w:rsidR="00CB7527" w:rsidRDefault="00CB7527" w:rsidP="00CB7527">
      <w:pPr>
        <w:pStyle w:val="a5"/>
        <w:tabs>
          <w:tab w:val="left" w:pos="180"/>
        </w:tabs>
        <w:ind w:left="758"/>
        <w:jc w:val="both"/>
      </w:pPr>
    </w:p>
    <w:p w:rsidR="009352FF" w:rsidRDefault="00186912" w:rsidP="00CB7527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  <w:proofErr w:type="gramStart"/>
      <w:r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  <w:r w:rsidR="001C7089">
        <w:rPr>
          <w:sz w:val="28"/>
          <w:szCs w:val="28"/>
        </w:rPr>
        <w:t>п</w:t>
      </w:r>
      <w:r w:rsidR="006E609D">
        <w:rPr>
          <w:sz w:val="28"/>
          <w:szCs w:val="28"/>
        </w:rPr>
        <w:t>ерв</w:t>
      </w:r>
      <w:r w:rsidR="001C7089">
        <w:rPr>
          <w:sz w:val="28"/>
          <w:szCs w:val="28"/>
        </w:rPr>
        <w:t>ого</w:t>
      </w:r>
      <w:r w:rsidR="006E609D">
        <w:rPr>
          <w:sz w:val="28"/>
          <w:szCs w:val="28"/>
        </w:rPr>
        <w:t xml:space="preserve"> </w:t>
      </w:r>
      <w:r w:rsidR="009E7089" w:rsidRPr="00A97F2B">
        <w:rPr>
          <w:sz w:val="28"/>
          <w:szCs w:val="28"/>
        </w:rPr>
        <w:t>заместител</w:t>
      </w:r>
      <w:r w:rsidR="001C7089">
        <w:rPr>
          <w:sz w:val="28"/>
          <w:szCs w:val="28"/>
        </w:rPr>
        <w:t>я</w:t>
      </w:r>
      <w:r w:rsidR="009E7089" w:rsidRPr="00A97F2B">
        <w:rPr>
          <w:sz w:val="28"/>
          <w:szCs w:val="28"/>
        </w:rPr>
        <w:t xml:space="preserve"> </w:t>
      </w:r>
      <w:r w:rsidR="009E7089">
        <w:rPr>
          <w:sz w:val="28"/>
          <w:szCs w:val="28"/>
        </w:rPr>
        <w:t>Главы Большеберезниковского муниципального района</w:t>
      </w:r>
      <w:r w:rsidR="00F91BE0" w:rsidRPr="00445DC4">
        <w:rPr>
          <w:rFonts w:eastAsia="Calibri"/>
          <w:sz w:val="28"/>
          <w:szCs w:val="28"/>
        </w:rPr>
        <w:t>,</w:t>
      </w:r>
      <w:r w:rsidR="009E7089" w:rsidRPr="009E7089">
        <w:rPr>
          <w:sz w:val="28"/>
          <w:szCs w:val="28"/>
        </w:rPr>
        <w:t xml:space="preserve"> </w:t>
      </w:r>
      <w:r w:rsidR="009E7089">
        <w:rPr>
          <w:sz w:val="28"/>
          <w:szCs w:val="28"/>
        </w:rPr>
        <w:t>Бояркин</w:t>
      </w:r>
      <w:r w:rsidR="001C7089">
        <w:rPr>
          <w:sz w:val="28"/>
          <w:szCs w:val="28"/>
        </w:rPr>
        <w:t>а</w:t>
      </w:r>
      <w:r w:rsidR="009E7089">
        <w:rPr>
          <w:sz w:val="28"/>
          <w:szCs w:val="28"/>
        </w:rPr>
        <w:t xml:space="preserve"> А.В. </w:t>
      </w:r>
      <w:r w:rsidR="00F91BE0" w:rsidRPr="00445DC4">
        <w:rPr>
          <w:rFonts w:eastAsia="Calibri"/>
          <w:sz w:val="28"/>
          <w:szCs w:val="28"/>
        </w:rPr>
        <w:t xml:space="preserve"> котор</w:t>
      </w:r>
      <w:r w:rsidR="009E7089">
        <w:rPr>
          <w:rFonts w:eastAsia="Calibri"/>
          <w:sz w:val="28"/>
          <w:szCs w:val="28"/>
        </w:rPr>
        <w:t>ый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445DC4">
        <w:rPr>
          <w:rFonts w:eastAsia="Calibri"/>
          <w:color w:val="000000"/>
          <w:spacing w:val="3"/>
          <w:sz w:val="28"/>
          <w:szCs w:val="28"/>
          <w:lang w:eastAsia="ru-RU"/>
        </w:rPr>
        <w:t>,</w:t>
      </w:r>
      <w:r w:rsidR="00452CD8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r w:rsidR="003F2CF1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что Координационным советом по развитию конкуренции в Республике </w:t>
      </w:r>
      <w:r w:rsidR="003F2CF1">
        <w:rPr>
          <w:rFonts w:eastAsia="Calibri"/>
          <w:color w:val="000000"/>
          <w:spacing w:val="3"/>
          <w:sz w:val="28"/>
          <w:szCs w:val="28"/>
          <w:lang w:eastAsia="ru-RU"/>
        </w:rPr>
        <w:lastRenderedPageBreak/>
        <w:t>Мордовия</w:t>
      </w:r>
      <w:r w:rsidR="00002220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рассмотрен и утвержден, протокольным решением от 09.03.2023г. №1/КС, Доклад «Состояние и развитие конкурентной среды на рынках товаров, работ и услуг Республики Мордовия в 2022 году»</w:t>
      </w:r>
      <w:r w:rsidR="00641D7F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, в части проведения </w:t>
      </w:r>
      <w:proofErr w:type="spellStart"/>
      <w:r w:rsidR="00641D7F">
        <w:rPr>
          <w:rFonts w:eastAsia="Calibri"/>
          <w:color w:val="000000"/>
          <w:spacing w:val="3"/>
          <w:sz w:val="28"/>
          <w:szCs w:val="28"/>
          <w:lang w:eastAsia="ru-RU"/>
        </w:rPr>
        <w:t>рейтингования</w:t>
      </w:r>
      <w:proofErr w:type="spellEnd"/>
      <w:r w:rsidR="00641D7F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муниципальных образований по уровню содействия развитию конкуренции в</w:t>
      </w:r>
      <w:proofErr w:type="gramEnd"/>
      <w:r w:rsidR="00641D7F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Республике Мордовия</w:t>
      </w:r>
      <w:r w:rsidR="002163C1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проведена оценка деятельности муниципальных образований по уровню содействия развитию конкуренции по установленным Методикой критериям.</w:t>
      </w:r>
      <w:r w:rsidR="00FC07A9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Оценка муниципальных образований проводилась по четырем промежуточным рейтингам, сформированным на основе показателей, позволяющих оценить деятельность по содействию развитию конкуренции и обеспечению условий для благопр</w:t>
      </w:r>
      <w:r w:rsidR="009352FF">
        <w:rPr>
          <w:rFonts w:eastAsia="Calibri"/>
          <w:color w:val="000000"/>
          <w:spacing w:val="3"/>
          <w:sz w:val="28"/>
          <w:szCs w:val="28"/>
          <w:lang w:eastAsia="ru-RU"/>
        </w:rPr>
        <w:t>иятного инвестиционного климата.</w:t>
      </w:r>
    </w:p>
    <w:p w:rsidR="00445DC4" w:rsidRDefault="009352FF" w:rsidP="00CB7527">
      <w:pPr>
        <w:tabs>
          <w:tab w:val="left" w:pos="1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    В первом промежуточном рейтинге «Организационные мероприятия по развитию конкуренции» </w:t>
      </w:r>
      <w:proofErr w:type="spellStart"/>
      <w:r>
        <w:rPr>
          <w:rFonts w:eastAsia="Calibri"/>
          <w:color w:val="000000"/>
          <w:spacing w:val="3"/>
          <w:sz w:val="28"/>
          <w:szCs w:val="28"/>
          <w:lang w:eastAsia="ru-RU"/>
        </w:rPr>
        <w:t>Большеберезниковский</w:t>
      </w:r>
      <w:proofErr w:type="spellEnd"/>
      <w:r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район </w:t>
      </w:r>
      <w:r w:rsidR="00DF213B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получил 4,0 балла, самый высокий балл у г.о. Саранск – 5,6.  Во втором промежуточном рейтинге «Сведения о достигнутом эффекте и результатах реализации Стандарта развития конкуренции», район получил 1,0 балл, самый высокий балл у </w:t>
      </w:r>
      <w:proofErr w:type="spellStart"/>
      <w:r w:rsidR="00DF213B">
        <w:rPr>
          <w:rFonts w:eastAsia="Calibri"/>
          <w:color w:val="000000"/>
          <w:spacing w:val="3"/>
          <w:sz w:val="28"/>
          <w:szCs w:val="28"/>
          <w:lang w:eastAsia="ru-RU"/>
        </w:rPr>
        <w:t>Атяшевского</w:t>
      </w:r>
      <w:proofErr w:type="spellEnd"/>
      <w:r w:rsidR="00DF213B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, Дубенского, Ромодановского и </w:t>
      </w:r>
      <w:proofErr w:type="spellStart"/>
      <w:r w:rsidR="00DF213B">
        <w:rPr>
          <w:rFonts w:eastAsia="Calibri"/>
          <w:color w:val="000000"/>
          <w:spacing w:val="3"/>
          <w:sz w:val="28"/>
          <w:szCs w:val="28"/>
          <w:lang w:eastAsia="ru-RU"/>
        </w:rPr>
        <w:t>Теньгушевского</w:t>
      </w:r>
      <w:proofErr w:type="spellEnd"/>
      <w:r w:rsidR="00DF213B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районов – 1,5. По результатам третьего промежуточного рейтинга «Оценка конкурентной среды на основе социологических исследований», интегральный балл составил 0,931- самый высокий среди муниципальных образований.</w:t>
      </w:r>
      <w:r w:rsidR="00D10912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По итогам четвертого промежуточного рейтинга « Оценка результативности деятельности муниципальных образований и г.о. Саранск по уровню содействия развитию конкуренции» район получил -8 баллов, самый высокий балл у </w:t>
      </w:r>
      <w:proofErr w:type="spellStart"/>
      <w:r w:rsidR="00D10912">
        <w:rPr>
          <w:rFonts w:eastAsia="Calibri"/>
          <w:color w:val="000000"/>
          <w:spacing w:val="3"/>
          <w:sz w:val="28"/>
          <w:szCs w:val="28"/>
          <w:lang w:eastAsia="ru-RU"/>
        </w:rPr>
        <w:t>Ардатовского</w:t>
      </w:r>
      <w:proofErr w:type="spellEnd"/>
      <w:r w:rsidR="00D10912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района – 9,1.</w:t>
      </w:r>
      <w:r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r w:rsidR="00FC07A9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В рейтинге за 2022 год </w:t>
      </w:r>
      <w:proofErr w:type="spellStart"/>
      <w:r w:rsidR="00FC07A9">
        <w:rPr>
          <w:rFonts w:eastAsia="Calibri"/>
          <w:color w:val="000000"/>
          <w:spacing w:val="3"/>
          <w:sz w:val="28"/>
          <w:szCs w:val="28"/>
          <w:lang w:eastAsia="ru-RU"/>
        </w:rPr>
        <w:t>Большеберезниковский</w:t>
      </w:r>
      <w:proofErr w:type="spellEnd"/>
      <w:r w:rsidR="00FC07A9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район улучшил свои позиции и поднялся с 11 на 6 место. Лидерами  рейтинга являются:  г.о. Саранск, </w:t>
      </w:r>
      <w:proofErr w:type="spellStart"/>
      <w:r w:rsidR="00FC07A9">
        <w:rPr>
          <w:rFonts w:eastAsia="Calibri"/>
          <w:color w:val="000000"/>
          <w:spacing w:val="3"/>
          <w:sz w:val="28"/>
          <w:szCs w:val="28"/>
          <w:lang w:eastAsia="ru-RU"/>
        </w:rPr>
        <w:t>Ардатовский</w:t>
      </w:r>
      <w:proofErr w:type="spellEnd"/>
      <w:r w:rsidR="00FC07A9">
        <w:rPr>
          <w:rFonts w:eastAsia="Calibri"/>
          <w:color w:val="000000"/>
          <w:spacing w:val="3"/>
          <w:sz w:val="28"/>
          <w:szCs w:val="28"/>
          <w:lang w:eastAsia="ru-RU"/>
        </w:rPr>
        <w:t>, Рузаевский, Ромодановский, Дубенский муниципальные районы.</w:t>
      </w:r>
    </w:p>
    <w:p w:rsidR="00B61932" w:rsidRDefault="00B61932" w:rsidP="00F4282E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B61932" w:rsidRDefault="00C20A64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>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2022 году.</w:t>
      </w:r>
    </w:p>
    <w:p w:rsidR="008A026B" w:rsidRDefault="008A026B" w:rsidP="008A026B">
      <w:pPr>
        <w:pStyle w:val="a5"/>
        <w:tabs>
          <w:tab w:val="left" w:pos="180"/>
        </w:tabs>
        <w:ind w:left="851"/>
        <w:jc w:val="both"/>
        <w:rPr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9F0A4B"/>
    <w:sectPr w:rsidR="00FA547A" w:rsidSect="005B0DD9">
      <w:pgSz w:w="11906" w:h="16838"/>
      <w:pgMar w:top="568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43C86"/>
    <w:rsid w:val="00075E59"/>
    <w:rsid w:val="000869F9"/>
    <w:rsid w:val="000C4507"/>
    <w:rsid w:val="000D6595"/>
    <w:rsid w:val="00186912"/>
    <w:rsid w:val="00195B1E"/>
    <w:rsid w:val="001A6A11"/>
    <w:rsid w:val="001C7089"/>
    <w:rsid w:val="001F7D74"/>
    <w:rsid w:val="00206CAF"/>
    <w:rsid w:val="002163C1"/>
    <w:rsid w:val="00256240"/>
    <w:rsid w:val="00270371"/>
    <w:rsid w:val="00285DAF"/>
    <w:rsid w:val="002B5119"/>
    <w:rsid w:val="002C5876"/>
    <w:rsid w:val="002D3F05"/>
    <w:rsid w:val="003246DA"/>
    <w:rsid w:val="00330AC2"/>
    <w:rsid w:val="003556B0"/>
    <w:rsid w:val="00371934"/>
    <w:rsid w:val="003732D5"/>
    <w:rsid w:val="00381F3E"/>
    <w:rsid w:val="00384175"/>
    <w:rsid w:val="003A0936"/>
    <w:rsid w:val="003F2CF1"/>
    <w:rsid w:val="00445DC4"/>
    <w:rsid w:val="00452CD8"/>
    <w:rsid w:val="00460185"/>
    <w:rsid w:val="00462B9B"/>
    <w:rsid w:val="00481272"/>
    <w:rsid w:val="004A4B7B"/>
    <w:rsid w:val="005071B2"/>
    <w:rsid w:val="0051744D"/>
    <w:rsid w:val="00531C16"/>
    <w:rsid w:val="005B0DD9"/>
    <w:rsid w:val="005C1456"/>
    <w:rsid w:val="0061381A"/>
    <w:rsid w:val="00626AC8"/>
    <w:rsid w:val="00641D7F"/>
    <w:rsid w:val="00643851"/>
    <w:rsid w:val="00645D36"/>
    <w:rsid w:val="00694357"/>
    <w:rsid w:val="006B2412"/>
    <w:rsid w:val="006B4B84"/>
    <w:rsid w:val="006E609D"/>
    <w:rsid w:val="007D5A7A"/>
    <w:rsid w:val="00843737"/>
    <w:rsid w:val="00850E0B"/>
    <w:rsid w:val="008A026B"/>
    <w:rsid w:val="008B604C"/>
    <w:rsid w:val="008E39CE"/>
    <w:rsid w:val="0092001A"/>
    <w:rsid w:val="009352FF"/>
    <w:rsid w:val="009355FE"/>
    <w:rsid w:val="009A6DC1"/>
    <w:rsid w:val="009E7089"/>
    <w:rsid w:val="009F0A4B"/>
    <w:rsid w:val="00A17B1A"/>
    <w:rsid w:val="00A41C5A"/>
    <w:rsid w:val="00A44F9A"/>
    <w:rsid w:val="00A92E86"/>
    <w:rsid w:val="00AE2671"/>
    <w:rsid w:val="00B02354"/>
    <w:rsid w:val="00B027F7"/>
    <w:rsid w:val="00B16BE1"/>
    <w:rsid w:val="00B55DB9"/>
    <w:rsid w:val="00B61932"/>
    <w:rsid w:val="00BC2CBA"/>
    <w:rsid w:val="00C20A64"/>
    <w:rsid w:val="00C637E7"/>
    <w:rsid w:val="00CB7527"/>
    <w:rsid w:val="00CE4280"/>
    <w:rsid w:val="00D10912"/>
    <w:rsid w:val="00D2432A"/>
    <w:rsid w:val="00D5225D"/>
    <w:rsid w:val="00DB191D"/>
    <w:rsid w:val="00DE7F4F"/>
    <w:rsid w:val="00DF03F3"/>
    <w:rsid w:val="00DF213B"/>
    <w:rsid w:val="00E07546"/>
    <w:rsid w:val="00E33F9D"/>
    <w:rsid w:val="00E417B3"/>
    <w:rsid w:val="00E716D3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4282E"/>
    <w:rsid w:val="00F91BE0"/>
    <w:rsid w:val="00F93511"/>
    <w:rsid w:val="00F969E2"/>
    <w:rsid w:val="00FA51AE"/>
    <w:rsid w:val="00FC07A9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2</cp:revision>
  <cp:lastPrinted>2023-10-10T11:17:00Z</cp:lastPrinted>
  <dcterms:created xsi:type="dcterms:W3CDTF">2024-01-10T07:48:00Z</dcterms:created>
  <dcterms:modified xsi:type="dcterms:W3CDTF">2024-01-10T07:48:00Z</dcterms:modified>
</cp:coreProperties>
</file>